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DE094" w14:textId="69A80D6C" w:rsidR="008700BC" w:rsidRDefault="008700BC" w:rsidP="008700BC">
      <w:pPr>
        <w:ind w:firstLineChars="150" w:firstLine="360"/>
        <w:jc w:val="center"/>
        <w:rPr>
          <w:rFonts w:ascii="STFangsong" w:eastAsia="STFangsong" w:hAnsi="STFangsong" w:cs="Arial"/>
          <w:b/>
          <w:bCs/>
          <w:sz w:val="24"/>
          <w:szCs w:val="24"/>
        </w:rPr>
      </w:pPr>
      <w:r>
        <w:rPr>
          <w:rFonts w:ascii="STFangsong" w:eastAsia="STFangsong" w:hAnsi="STFangsong" w:cs="Arial" w:hint="eastAsia"/>
          <w:b/>
          <w:bCs/>
          <w:sz w:val="24"/>
          <w:szCs w:val="24"/>
        </w:rPr>
        <w:t>寄递物品安全保障</w:t>
      </w:r>
    </w:p>
    <w:p w14:paraId="0DAF56FA" w14:textId="77777777" w:rsidR="009D7201" w:rsidRDefault="008700BC" w:rsidP="009D7201">
      <w:pPr>
        <w:ind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>
        <w:rPr>
          <w:rFonts w:ascii="STFangsong" w:eastAsia="STFangsong" w:hAnsi="STFangsong" w:cs="Arial" w:hint="eastAsia"/>
          <w:sz w:val="24"/>
          <w:szCs w:val="24"/>
        </w:rPr>
        <w:t>为了确保寄递渠道的安全，营造安全和谐的社会环境，根据最新颁布的《快递暂行条例》和国家安全部门的有关要求</w:t>
      </w:r>
      <w:r w:rsidR="009D7201">
        <w:rPr>
          <w:rFonts w:ascii="STFangsong" w:eastAsia="STFangsong" w:hAnsi="STFangsong" w:cs="Arial" w:hint="eastAsia"/>
          <w:sz w:val="24"/>
          <w:szCs w:val="24"/>
        </w:rPr>
        <w:t>，</w:t>
      </w:r>
      <w:r w:rsidR="009D7201">
        <w:rPr>
          <w:rFonts w:ascii="STFangsong" w:eastAsia="STFangsong" w:hAnsi="STFangsong" w:cs="Arial" w:hint="eastAsia"/>
          <w:sz w:val="24"/>
          <w:szCs w:val="24"/>
        </w:rPr>
        <w:t>发货人应遵守《中华人民共和国反恐怖法》、《中华人民共和国邮政法》及《快递暂行条例》中关于安全寄递的相关规定。</w:t>
      </w:r>
    </w:p>
    <w:p w14:paraId="729378A6" w14:textId="7BCA4F07" w:rsidR="008700BC" w:rsidRDefault="009D7201" w:rsidP="008700BC">
      <w:pPr>
        <w:ind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>
        <w:rPr>
          <w:rFonts w:ascii="STFangsong" w:eastAsia="STFangsong" w:hAnsi="STFangsong" w:cs="Arial" w:hint="eastAsia"/>
          <w:sz w:val="24"/>
          <w:szCs w:val="24"/>
        </w:rPr>
        <w:t>发货人交</w:t>
      </w:r>
      <w:r w:rsidR="008700BC">
        <w:rPr>
          <w:rFonts w:ascii="STFangsong" w:eastAsia="STFangsong" w:hAnsi="STFangsong" w:cs="Arial" w:hint="eastAsia"/>
          <w:sz w:val="24"/>
          <w:szCs w:val="24"/>
        </w:rPr>
        <w:t>寄邮件（快件）应当遵守国家关于禁止寄递或者限制寄递物品的规定，不得通过寄递渠道危害国家安全、</w:t>
      </w:r>
    </w:p>
    <w:p w14:paraId="71B5454D" w14:textId="601219C7" w:rsidR="008700BC" w:rsidRDefault="008700BC" w:rsidP="008700BC">
      <w:pPr>
        <w:ind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>
        <w:rPr>
          <w:rFonts w:ascii="STFangsong" w:eastAsia="STFangsong" w:hAnsi="STFangsong" w:cs="Arial" w:hint="eastAsia"/>
          <w:sz w:val="24"/>
          <w:szCs w:val="24"/>
        </w:rPr>
        <w:t>寄递的物品中不含以下物品：</w:t>
      </w:r>
    </w:p>
    <w:p w14:paraId="2EA237B2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各类武器、弹药，如枪支、子弹、炮弹、手榴弹、地雷、炸弹等。</w:t>
      </w:r>
    </w:p>
    <w:p w14:paraId="30EF89FE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各类易爆炸性物品，如雷管、炸药、火药、鞭炮等。</w:t>
      </w:r>
    </w:p>
    <w:p w14:paraId="046D613E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各类易燃烧性物品，包括液体、气体和固体，如汽油、煤油、桐油、酒精、生漆、柴油、气雾剂、气体打火机、瓦斯气瓶、磷、硫磺、火柴等。</w:t>
      </w:r>
    </w:p>
    <w:p w14:paraId="2A2F2CB5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各类易腐蚀性物品，如火硫酸、盐酸、硝酸、有机溶剂、农药、双氧水、危险化学品等。</w:t>
      </w:r>
    </w:p>
    <w:p w14:paraId="0F2B35EB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各类放射性元素及容器，如铀、钴、镭、钚等。</w:t>
      </w:r>
      <w:r w:rsidRPr="009D7201">
        <w:rPr>
          <w:rFonts w:ascii="STFangsong" w:eastAsia="STFangsong" w:hAnsi="STFangsong" w:cs="Arial"/>
          <w:sz w:val="24"/>
          <w:szCs w:val="24"/>
        </w:rPr>
        <w:t xml:space="preserve"> </w:t>
      </w:r>
    </w:p>
    <w:p w14:paraId="127063BB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各类烈性毒药，如铊、氰化物、砒霜等。</w:t>
      </w:r>
    </w:p>
    <w:p w14:paraId="5303B38A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各类麻醉药物，如鸦片（包括婴粟壳、花、苞、叶）、吗啡、可卡因、</w:t>
      </w:r>
      <w:r w:rsidRPr="009D7201">
        <w:rPr>
          <w:rFonts w:ascii="STFangsong" w:eastAsia="STFangsong" w:hAnsi="STFangsong" w:cs="Arial"/>
          <w:sz w:val="24"/>
          <w:szCs w:val="24"/>
        </w:rPr>
        <w:t xml:space="preserve"> </w:t>
      </w:r>
      <w:r w:rsidRPr="009D7201">
        <w:rPr>
          <w:rFonts w:ascii="STFangsong" w:eastAsia="STFangsong" w:hAnsi="STFangsong" w:cs="Arial" w:hint="eastAsia"/>
          <w:sz w:val="24"/>
          <w:szCs w:val="24"/>
        </w:rPr>
        <w:t>海洛因、大麻、冰毒、麻黄素及其它制品等。</w:t>
      </w:r>
    </w:p>
    <w:p w14:paraId="5E198E78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各类生化制品和传染性物品，如炭症、危险性病菌、医药用废弃物等。</w:t>
      </w:r>
    </w:p>
    <w:p w14:paraId="079693C2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各种危害国家安全和社会政治稳定以及淫秽的出版物、宣传品、印刷品等，如各种煽动民族仇恨、歧视，破坏民族团结，宣扬邪教或者迷信，散布谣言扰乱社会秩序等。</w:t>
      </w:r>
    </w:p>
    <w:p w14:paraId="4B21843F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各种妨害公共卫生的物品，如尸骨、动物器官、肢体、未经硝制的兽皮、未经药制的兽骨、活动物等。</w:t>
      </w:r>
    </w:p>
    <w:p w14:paraId="69D085FA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lastRenderedPageBreak/>
        <w:t>国家法律、法规、行政规章明令禁止流通、寄递或进出境的物品，</w:t>
      </w:r>
      <w:r w:rsidRPr="009D7201">
        <w:rPr>
          <w:rFonts w:ascii="STFangsong" w:eastAsia="STFangsong" w:hAnsi="STFangsong" w:cs="Arial"/>
          <w:sz w:val="24"/>
          <w:szCs w:val="24"/>
        </w:rPr>
        <w:t xml:space="preserve"> </w:t>
      </w:r>
      <w:r w:rsidRPr="009D7201">
        <w:rPr>
          <w:rFonts w:ascii="STFangsong" w:eastAsia="STFangsong" w:hAnsi="STFangsong" w:cs="Arial" w:hint="eastAsia"/>
          <w:sz w:val="24"/>
          <w:szCs w:val="24"/>
        </w:rPr>
        <w:t>如国家秘密文件和资料、国家货币及伪造的货币和有价证券、仿真武器、管制刀</w:t>
      </w:r>
      <w:r w:rsidRPr="009D7201">
        <w:rPr>
          <w:rFonts w:ascii="STFangsong" w:eastAsia="STFangsong" w:hAnsi="STFangsong" w:cs="Arial"/>
          <w:sz w:val="24"/>
          <w:szCs w:val="24"/>
        </w:rPr>
        <w:t xml:space="preserve"> </w:t>
      </w:r>
      <w:r w:rsidRPr="009D7201">
        <w:rPr>
          <w:rFonts w:ascii="STFangsong" w:eastAsia="STFangsong" w:hAnsi="STFangsong" w:cs="Arial" w:hint="eastAsia"/>
          <w:sz w:val="24"/>
          <w:szCs w:val="24"/>
        </w:rPr>
        <w:t>具、珍贵文物、濒危野生动物及其制品等。</w:t>
      </w:r>
    </w:p>
    <w:p w14:paraId="79BDE1FF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包装不妥，可能危害人身安全、污染或者损毁其他寄递件、设备的物品等。</w:t>
      </w:r>
    </w:p>
    <w:p w14:paraId="26374C4E" w14:textId="77777777" w:rsidR="009D7201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  <w:rPr>
          <w:rFonts w:ascii="STFangsong" w:eastAsia="STFangsong" w:hAnsi="STFangsong" w:cs="Arial"/>
          <w:sz w:val="24"/>
          <w:szCs w:val="24"/>
        </w:rPr>
      </w:pPr>
      <w:r w:rsidRPr="009D7201">
        <w:rPr>
          <w:rFonts w:ascii="STFangsong" w:eastAsia="STFangsong" w:hAnsi="STFangsong" w:cs="Arial" w:hint="eastAsia"/>
          <w:sz w:val="24"/>
          <w:szCs w:val="24"/>
        </w:rPr>
        <w:t>各寄达国（地区）禁止寄递进口的物品等。</w:t>
      </w:r>
    </w:p>
    <w:p w14:paraId="1B7799D3" w14:textId="35994253" w:rsidR="007F7FF7" w:rsidRDefault="008700BC" w:rsidP="009D7201">
      <w:pPr>
        <w:pStyle w:val="ListParagraph"/>
        <w:numPr>
          <w:ilvl w:val="0"/>
          <w:numId w:val="1"/>
        </w:numPr>
        <w:ind w:left="426" w:firstLineChars="150" w:firstLine="360"/>
        <w:jc w:val="left"/>
      </w:pPr>
      <w:r w:rsidRPr="009D7201">
        <w:rPr>
          <w:rFonts w:ascii="STFangsong" w:eastAsia="STFangsong" w:hAnsi="STFangsong" w:cs="Arial" w:hint="eastAsia"/>
          <w:sz w:val="24"/>
          <w:szCs w:val="24"/>
        </w:rPr>
        <w:t>其他禁止寄递的物品。</w:t>
      </w:r>
    </w:p>
    <w:sectPr w:rsidR="007F7FF7" w:rsidSect="005D4A9C">
      <w:headerReference w:type="default" r:id="rId7"/>
      <w:footerReference w:type="default" r:id="rId8"/>
      <w:pgSz w:w="11906" w:h="16838"/>
      <w:pgMar w:top="1440" w:right="849" w:bottom="1440" w:left="99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86559" w14:textId="77777777" w:rsidR="00A92DA2" w:rsidRDefault="00A92DA2">
      <w:r>
        <w:separator/>
      </w:r>
    </w:p>
  </w:endnote>
  <w:endnote w:type="continuationSeparator" w:id="0">
    <w:p w14:paraId="6E6C1706" w14:textId="77777777" w:rsidR="00A92DA2" w:rsidRDefault="00A9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30C8" w14:textId="77777777" w:rsidR="00D11FA7" w:rsidRDefault="008700BC">
    <w:pPr>
      <w:pStyle w:val="Footer"/>
      <w:jc w:val="center"/>
    </w:pPr>
    <w:r>
      <w:rPr>
        <w:rFonts w:hint="eastAsia"/>
        <w:kern w:val="0"/>
      </w:rPr>
      <w:t>第</w:t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lang w:val="ru-RU"/>
      </w:rPr>
      <w:t>5</w:t>
    </w:r>
    <w:r>
      <w:fldChar w:fldCharType="end"/>
    </w:r>
    <w:r>
      <w:rPr>
        <w:rFonts w:hint="eastAsia"/>
        <w:kern w:val="0"/>
      </w:rPr>
      <w:t>页共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lang w:val="ru-RU"/>
      </w:rPr>
      <w:t>11</w:t>
    </w:r>
    <w:r>
      <w:fldChar w:fldCharType="end"/>
    </w:r>
    <w:r>
      <w:rPr>
        <w:rFonts w:hint="eastAsia"/>
        <w:kern w:val="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5224D" w14:textId="77777777" w:rsidR="00A92DA2" w:rsidRDefault="00A92DA2">
      <w:r>
        <w:separator/>
      </w:r>
    </w:p>
  </w:footnote>
  <w:footnote w:type="continuationSeparator" w:id="0">
    <w:p w14:paraId="27F0D90B" w14:textId="77777777" w:rsidR="00A92DA2" w:rsidRDefault="00A9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37FF3" w14:textId="77777777" w:rsidR="00D11FA7" w:rsidRDefault="00D11FA7">
    <w:pPr>
      <w:pStyle w:val="Header"/>
      <w:jc w:val="right"/>
      <w:rPr>
        <w:rFonts w:ascii="Matura MT Script Capitals" w:hAnsi="Matura MT Script Capital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7025"/>
    <w:multiLevelType w:val="hybridMultilevel"/>
    <w:tmpl w:val="3C40E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BC"/>
    <w:rsid w:val="005D4A9C"/>
    <w:rsid w:val="006C0C1D"/>
    <w:rsid w:val="007F7FF7"/>
    <w:rsid w:val="008700BC"/>
    <w:rsid w:val="009D7201"/>
    <w:rsid w:val="00A92DA2"/>
    <w:rsid w:val="00C46B33"/>
    <w:rsid w:val="00D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3064"/>
  <w15:chartTrackingRefBased/>
  <w15:docId w15:val="{C9CDDF28-621E-4E11-BF27-3515AD0B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700BC"/>
  </w:style>
  <w:style w:type="character" w:customStyle="1" w:styleId="FooterChar">
    <w:name w:val="Footer Char"/>
    <w:link w:val="Footer"/>
    <w:rsid w:val="008700BC"/>
    <w:rPr>
      <w:sz w:val="18"/>
      <w:szCs w:val="18"/>
    </w:rPr>
  </w:style>
  <w:style w:type="character" w:customStyle="1" w:styleId="HeaderChar">
    <w:name w:val="Header Char"/>
    <w:link w:val="Header"/>
    <w:uiPriority w:val="99"/>
    <w:rsid w:val="008700BC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870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8700BC"/>
    <w:rPr>
      <w:rFonts w:ascii="Times New Roman" w:eastAsia="宋体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7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8700BC"/>
    <w:rPr>
      <w:rFonts w:ascii="Times New Roman" w:eastAsia="宋体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D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伊丽娜 Irina Tsygankova</dc:creator>
  <cp:keywords/>
  <dc:description/>
  <cp:lastModifiedBy>伊丽娜 Irina Tsygankova</cp:lastModifiedBy>
  <cp:revision>5</cp:revision>
  <dcterms:created xsi:type="dcterms:W3CDTF">2021-03-22T03:21:00Z</dcterms:created>
  <dcterms:modified xsi:type="dcterms:W3CDTF">2021-03-22T03:38:00Z</dcterms:modified>
</cp:coreProperties>
</file>